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60" w:rsidRDefault="00D11C60" w:rsidP="00D11C60">
      <w:pPr>
        <w:spacing w:after="120"/>
        <w:jc w:val="center"/>
        <w:rPr>
          <w:rFonts w:ascii="Cambria" w:hAnsi="Cambria" w:cstheme="minorHAnsi"/>
          <w:b/>
          <w:color w:val="1F3864" w:themeColor="accent5" w:themeShade="80"/>
          <w:sz w:val="28"/>
          <w:szCs w:val="20"/>
        </w:rPr>
      </w:pPr>
      <w:r w:rsidRPr="00D11C60">
        <w:rPr>
          <w:rFonts w:ascii="Cambria" w:hAnsi="Cambria" w:cstheme="minorHAnsi"/>
          <w:b/>
          <w:color w:val="1F3864" w:themeColor="accent5" w:themeShade="80"/>
          <w:sz w:val="28"/>
          <w:szCs w:val="20"/>
        </w:rPr>
        <w:t>Основни елементи на Законодателния акт за циф</w:t>
      </w:r>
      <w:bookmarkStart w:id="0" w:name="_GoBack"/>
      <w:bookmarkEnd w:id="0"/>
      <w:r w:rsidRPr="00D11C60">
        <w:rPr>
          <w:rFonts w:ascii="Cambria" w:hAnsi="Cambria" w:cstheme="minorHAnsi"/>
          <w:b/>
          <w:color w:val="1F3864" w:themeColor="accent5" w:themeShade="80"/>
          <w:sz w:val="28"/>
          <w:szCs w:val="20"/>
        </w:rPr>
        <w:t>ровите пазари</w:t>
      </w:r>
    </w:p>
    <w:p w:rsidR="00D11C60" w:rsidRPr="00D11C60" w:rsidRDefault="00D11C60" w:rsidP="00D11C60">
      <w:pPr>
        <w:spacing w:after="120"/>
        <w:jc w:val="center"/>
        <w:rPr>
          <w:rFonts w:ascii="Cambria" w:hAnsi="Cambria" w:cstheme="minorHAnsi"/>
          <w:color w:val="1F3864" w:themeColor="accent5" w:themeShade="80"/>
          <w:sz w:val="28"/>
          <w:szCs w:val="20"/>
        </w:rPr>
      </w:pPr>
    </w:p>
    <w:p w:rsidR="00D11C60" w:rsidRPr="008F3ADE" w:rsidRDefault="00D11C60" w:rsidP="00D11C60">
      <w:pPr>
        <w:shd w:val="clear" w:color="auto" w:fill="002060"/>
        <w:spacing w:after="120"/>
        <w:jc w:val="both"/>
        <w:rPr>
          <w:rFonts w:ascii="Tahoma" w:hAnsi="Tahoma" w:cs="Tahoma"/>
          <w:sz w:val="20"/>
          <w:szCs w:val="20"/>
        </w:rPr>
      </w:pPr>
      <w:proofErr w:type="spellStart"/>
      <w:r w:rsidRPr="008F3ADE">
        <w:rPr>
          <w:rFonts w:ascii="Tahoma" w:hAnsi="Tahoma" w:cs="Tahoma"/>
          <w:b/>
          <w:sz w:val="20"/>
          <w:szCs w:val="20"/>
          <w:lang w:val="en-GB"/>
        </w:rPr>
        <w:t>Предмет</w:t>
      </w:r>
      <w:proofErr w:type="spellEnd"/>
      <w:r w:rsidRPr="008F3ADE">
        <w:rPr>
          <w:rFonts w:ascii="Tahoma" w:hAnsi="Tahoma" w:cs="Tahoma"/>
          <w:b/>
          <w:sz w:val="20"/>
          <w:szCs w:val="20"/>
          <w:lang w:val="en-GB"/>
        </w:rPr>
        <w:t xml:space="preserve">, </w:t>
      </w:r>
      <w:proofErr w:type="spellStart"/>
      <w:r w:rsidRPr="008F3ADE">
        <w:rPr>
          <w:rFonts w:ascii="Tahoma" w:hAnsi="Tahoma" w:cs="Tahoma"/>
          <w:b/>
          <w:sz w:val="20"/>
          <w:szCs w:val="20"/>
          <w:lang w:val="en-GB"/>
        </w:rPr>
        <w:t>обхват</w:t>
      </w:r>
      <w:proofErr w:type="spellEnd"/>
      <w:r w:rsidRPr="008F3ADE">
        <w:rPr>
          <w:rFonts w:ascii="Tahoma" w:hAnsi="Tahoma" w:cs="Tahoma"/>
          <w:b/>
          <w:sz w:val="20"/>
          <w:szCs w:val="20"/>
          <w:lang w:val="en-GB"/>
        </w:rPr>
        <w:t xml:space="preserve"> и </w:t>
      </w:r>
      <w:proofErr w:type="spellStart"/>
      <w:r w:rsidRPr="008F3ADE">
        <w:rPr>
          <w:rFonts w:ascii="Tahoma" w:hAnsi="Tahoma" w:cs="Tahoma"/>
          <w:b/>
          <w:sz w:val="20"/>
          <w:szCs w:val="20"/>
          <w:lang w:val="en-GB"/>
        </w:rPr>
        <w:t>определения</w:t>
      </w:r>
      <w:proofErr w:type="spellEnd"/>
      <w:r w:rsidRPr="008F3ADE">
        <w:rPr>
          <w:rFonts w:ascii="Tahoma" w:hAnsi="Tahoma" w:cs="Tahoma"/>
          <w:b/>
          <w:sz w:val="20"/>
          <w:szCs w:val="20"/>
          <w:lang w:val="en-GB"/>
        </w:rPr>
        <w:t xml:space="preserve"> (</w:t>
      </w:r>
      <w:proofErr w:type="spellStart"/>
      <w:r w:rsidRPr="008F3ADE">
        <w:rPr>
          <w:rFonts w:ascii="Tahoma" w:hAnsi="Tahoma" w:cs="Tahoma"/>
          <w:b/>
          <w:sz w:val="20"/>
          <w:szCs w:val="20"/>
          <w:lang w:val="en-GB"/>
        </w:rPr>
        <w:t>глава</w:t>
      </w:r>
      <w:proofErr w:type="spellEnd"/>
      <w:r w:rsidRPr="008F3ADE">
        <w:rPr>
          <w:rFonts w:ascii="Tahoma" w:hAnsi="Tahoma" w:cs="Tahoma"/>
          <w:b/>
          <w:sz w:val="20"/>
          <w:szCs w:val="20"/>
          <w:lang w:val="en-GB"/>
        </w:rPr>
        <w:t xml:space="preserve"> I):</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1:</w:t>
      </w:r>
      <w:r w:rsidRPr="008F3ADE">
        <w:rPr>
          <w:rFonts w:ascii="Tahoma" w:hAnsi="Tahoma" w:cs="Tahoma"/>
          <w:sz w:val="20"/>
          <w:szCs w:val="20"/>
        </w:rPr>
        <w:t xml:space="preserve"> предложението има за цел да хармонизира правилата, за да осигури справедливи пазари в цифровия сектор, където присъстват пазачите на цифрови услуги. Той се прилага екстериториално и ограничава държавите-членки да приемат допълнителни закони, налагащи ограничения на пазачите на информационния вход по подобни причини. </w:t>
      </w:r>
    </w:p>
    <w:p w:rsidR="00D11C60" w:rsidRPr="008F3ADE" w:rsidRDefault="00D11C60" w:rsidP="00D11C60">
      <w:pPr>
        <w:shd w:val="clear" w:color="auto" w:fill="002060"/>
        <w:spacing w:after="120"/>
        <w:jc w:val="both"/>
        <w:rPr>
          <w:rFonts w:ascii="Tahoma" w:hAnsi="Tahoma" w:cs="Tahoma"/>
          <w:sz w:val="20"/>
          <w:szCs w:val="20"/>
        </w:rPr>
      </w:pPr>
      <w:r w:rsidRPr="008F3ADE">
        <w:rPr>
          <w:rFonts w:ascii="Tahoma" w:hAnsi="Tahoma" w:cs="Tahoma"/>
          <w:b/>
          <w:sz w:val="20"/>
          <w:szCs w:val="20"/>
        </w:rPr>
        <w:t>Пазачи на информационния вход (Глава II):</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3:</w:t>
      </w:r>
      <w:r w:rsidRPr="008F3ADE">
        <w:rPr>
          <w:rFonts w:ascii="Tahoma" w:hAnsi="Tahoma" w:cs="Tahoma"/>
          <w:sz w:val="20"/>
          <w:szCs w:val="20"/>
        </w:rPr>
        <w:t xml:space="preserve"> пазачът е доставчик на платформени услуги, който:</w:t>
      </w:r>
    </w:p>
    <w:p w:rsidR="00D11C60" w:rsidRPr="008F3ADE" w:rsidRDefault="00D11C60" w:rsidP="00D11C60">
      <w:pPr>
        <w:pStyle w:val="ListParagraph"/>
        <w:numPr>
          <w:ilvl w:val="0"/>
          <w:numId w:val="2"/>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има значително въздействие върху единния пазар (= годишен оборот на ЕИП, равен на или над 6,5 милиарда евро през последните 3 финансови години или когато средната пазарна капитализация или еквивалентна справедлива пазарна стойност на предприятието, към което принадлежи, възлиза на най-малко 65 милиарда евро през последната финансова година, предоставяйки основна част на поне 3 държави-членки);</w:t>
      </w:r>
    </w:p>
    <w:p w:rsidR="00D11C60" w:rsidRPr="008F3ADE" w:rsidRDefault="00D11C60" w:rsidP="00D11C60">
      <w:pPr>
        <w:pStyle w:val="ListParagraph"/>
        <w:numPr>
          <w:ilvl w:val="0"/>
          <w:numId w:val="2"/>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функционира като основна платформа за бизнес потребители за достигане до крайните потребители (= над 45 милиона активни крайни потребители месечно в ЕС и над 10 000 годишно активни бизнес потребители в ЕС през последната финансова година);</w:t>
      </w:r>
    </w:p>
    <w:p w:rsidR="00D11C60" w:rsidRPr="008F3ADE" w:rsidRDefault="00D11C60" w:rsidP="00D11C60">
      <w:pPr>
        <w:pStyle w:val="ListParagraph"/>
        <w:numPr>
          <w:ilvl w:val="0"/>
          <w:numId w:val="2"/>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се ползва с утвърдена позиция или в предвидимо близко бъдеще (= ако се счита за основна платформа, която служи като важен портал за последните 3 финансови години).</w:t>
      </w:r>
    </w:p>
    <w:p w:rsidR="00D11C60" w:rsidRPr="008F3ADE" w:rsidRDefault="00D11C60" w:rsidP="00D11C60">
      <w:pPr>
        <w:spacing w:after="120"/>
        <w:jc w:val="both"/>
        <w:rPr>
          <w:rFonts w:ascii="Tahoma" w:hAnsi="Tahoma" w:cs="Tahoma"/>
          <w:sz w:val="20"/>
          <w:szCs w:val="20"/>
        </w:rPr>
      </w:pPr>
      <w:r w:rsidRPr="008F3ADE">
        <w:rPr>
          <w:rFonts w:ascii="Tahoma" w:hAnsi="Tahoma" w:cs="Tahoma"/>
          <w:sz w:val="20"/>
          <w:szCs w:val="20"/>
        </w:rPr>
        <w:t>Комисията ще бъде оправомощена да приема делегирани актове за спесифициране на методология за определяне дали тези прагове са спазени и при необходимост да се приспособят към пазарните / технологичните реалности (член 3 (5)).</w:t>
      </w:r>
    </w:p>
    <w:p w:rsidR="00D11C60" w:rsidRPr="008F3ADE" w:rsidRDefault="00D11C60" w:rsidP="00D11C60">
      <w:pPr>
        <w:spacing w:after="120"/>
        <w:jc w:val="both"/>
        <w:rPr>
          <w:rFonts w:ascii="Tahoma" w:hAnsi="Tahoma" w:cs="Tahoma"/>
          <w:sz w:val="20"/>
          <w:szCs w:val="20"/>
        </w:rPr>
      </w:pPr>
      <w:r w:rsidRPr="008F3ADE">
        <w:rPr>
          <w:rFonts w:ascii="Tahoma" w:hAnsi="Tahoma" w:cs="Tahoma"/>
          <w:sz w:val="20"/>
          <w:szCs w:val="20"/>
        </w:rPr>
        <w:t>Платформите трябва да уведомят Комисията в рамките на 3 месеца след осъзнаване на статута им на пазач на информационния вход. Липсата на уведомление не пречи на Комисията да ги определи за пазачи (член 3, параграф 3).</w:t>
      </w:r>
    </w:p>
    <w:p w:rsidR="00D11C60" w:rsidRPr="008F3ADE" w:rsidRDefault="00D11C60" w:rsidP="00D11C60">
      <w:pPr>
        <w:spacing w:after="120"/>
        <w:jc w:val="both"/>
        <w:rPr>
          <w:rFonts w:ascii="Tahoma" w:hAnsi="Tahoma" w:cs="Tahoma"/>
          <w:sz w:val="20"/>
          <w:szCs w:val="20"/>
        </w:rPr>
      </w:pPr>
      <w:r w:rsidRPr="008F3ADE">
        <w:rPr>
          <w:rFonts w:ascii="Tahoma" w:hAnsi="Tahoma" w:cs="Tahoma"/>
          <w:sz w:val="20"/>
          <w:szCs w:val="20"/>
        </w:rPr>
        <w:t>Комисията определя статут на пазач в рамките на 60 дни след получаване на пълна информация, освен ако платформата не представи достатъчно аргументи защо те не отговарят на ролята на пазач. Комисията взема предвид различни елементи при оценката. Комисията може да определи всяка платформа за пазач, дори ако тя не отговаря на всички критерии в член 3, параграф 2, стига да спазва член 3, параграф 1 (член 3, параграф 6).</w:t>
      </w:r>
    </w:p>
    <w:p w:rsidR="00D11C60" w:rsidRPr="008F3ADE" w:rsidRDefault="00D11C60" w:rsidP="00D11C60">
      <w:pPr>
        <w:spacing w:after="120"/>
        <w:jc w:val="both"/>
        <w:rPr>
          <w:rFonts w:ascii="Tahoma" w:hAnsi="Tahoma" w:cs="Tahoma"/>
          <w:sz w:val="20"/>
          <w:szCs w:val="20"/>
        </w:rPr>
      </w:pPr>
      <w:r w:rsidRPr="008F3ADE">
        <w:rPr>
          <w:rFonts w:ascii="Tahoma" w:hAnsi="Tahoma" w:cs="Tahoma"/>
          <w:sz w:val="20"/>
          <w:szCs w:val="20"/>
        </w:rPr>
        <w:t>Предприятието на платформата на пазача се идентифицира от Комисията и следващите основни платформи на това предприятие се изброяват, които поотделно служат като други пазачи (член 3, параграф 7).</w:t>
      </w:r>
    </w:p>
    <w:p w:rsidR="00D11C60" w:rsidRPr="008F3ADE" w:rsidRDefault="00D11C60" w:rsidP="00D11C60">
      <w:pPr>
        <w:spacing w:after="120"/>
        <w:jc w:val="both"/>
        <w:rPr>
          <w:rFonts w:ascii="Tahoma" w:hAnsi="Tahoma" w:cs="Tahoma"/>
          <w:sz w:val="20"/>
          <w:szCs w:val="20"/>
        </w:rPr>
      </w:pPr>
      <w:r w:rsidRPr="008F3ADE">
        <w:rPr>
          <w:rFonts w:ascii="Tahoma" w:hAnsi="Tahoma" w:cs="Tahoma"/>
          <w:sz w:val="20"/>
          <w:szCs w:val="20"/>
        </w:rPr>
        <w:t>Пазачите трябва да приведат своята дейност в съответствие с изискванията в рамките на 6 месеца след определянето им за пазачи (член 3, параграф 8).</w:t>
      </w:r>
    </w:p>
    <w:p w:rsidR="00D11C60" w:rsidRPr="008F3ADE" w:rsidRDefault="00D11C60" w:rsidP="00D11C60">
      <w:pPr>
        <w:shd w:val="clear" w:color="auto" w:fill="002060"/>
        <w:spacing w:after="120"/>
        <w:jc w:val="both"/>
        <w:rPr>
          <w:rFonts w:ascii="Tahoma" w:hAnsi="Tahoma" w:cs="Tahoma"/>
          <w:sz w:val="20"/>
          <w:szCs w:val="20"/>
        </w:rPr>
      </w:pPr>
      <w:r w:rsidRPr="008F3ADE">
        <w:rPr>
          <w:rFonts w:ascii="Tahoma" w:hAnsi="Tahoma" w:cs="Tahoma"/>
          <w:b/>
          <w:sz w:val="20"/>
          <w:szCs w:val="20"/>
        </w:rPr>
        <w:t>Практики на пазачите, които ограничават оспорването или са несправедливи (Глава III):</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5:</w:t>
      </w:r>
      <w:r w:rsidRPr="008F3ADE">
        <w:rPr>
          <w:rFonts w:ascii="Tahoma" w:hAnsi="Tahoma" w:cs="Tahoma"/>
          <w:sz w:val="20"/>
          <w:szCs w:val="20"/>
        </w:rPr>
        <w:t xml:space="preserve"> пазачите на информационния вход са длъжни:</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предложат отказ от комбиниране на личните данни от различни услуги и автоматично вписване на потребителите, освен ако не е дадено съгласие;</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позволява на бизнес потребителите да предлагат едни и същи продукти при различни цени / условия от услугите на пазачите;</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позволява на бизнес потребителите да популяризират оферти за крайни потребители чрез платформи и да сключват договори;</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се въздържат от предотвратяване или ограничаване на бизнес потребителите да повдигат въпроси пред властите относно практиките на пазачите;</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се въздържат да изискват от бизнес потребителите да използват услугата за идентификация на пазача;</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се въздържат да изискват от потребителите да се абонират или да се регистрират за друга основна услуга на платформата;</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lastRenderedPageBreak/>
        <w:t>да осигурят прозрачност на рекламодателите и издателите за цената, заплатена за публикувана реклама.</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6:</w:t>
      </w:r>
      <w:r w:rsidRPr="008F3ADE">
        <w:rPr>
          <w:rFonts w:ascii="Tahoma" w:hAnsi="Tahoma" w:cs="Tahoma"/>
          <w:sz w:val="20"/>
          <w:szCs w:val="20"/>
        </w:rPr>
        <w:t xml:space="preserve"> Определените пазачи на информационния вход трябва:</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не използват данни, събрани чрез услугата на платформата чрез дейности на бизнес потребители, за да предлагат услуги в конкуренция с тях;</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позволи на крайните потребители да деинсталират предварително инсталиран софтуер на платформата, без да се засягат онези приложения, които са от съществено значение за функционирането на операционната система;</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позволят инсталирането на софтуер на трети страни в оперативно съвместима форма, без да възпрепятстват пазача на информационния вход да предприема пропорционални мерки, за да гарантира, че целостта на хардуера не е застрашена;</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не класират по-благоприятно собствените си услуги или продукти;</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позволят на крайните потребители да превключват между различни софтуерни приложения, като не поставят технически ограничения, които да пречат на това;</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позволяват достъп на допълнителни услуги на трети страни и оперативна съвместимост до същата операционна система, хардуер, софтуер, който е наличен или използван от пазача;</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осигури безплатен достъп на рекламодателите и издателите до инструменти за измерване на ефективността на пазача на информационния вход и на информация, необходима за оценка на собствената проверка на рекламния инвентар;</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осигури преносимост на данните, при спазване на GDPR, когато е необходимо;</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разреши безплатен достъп до данни, генерирани от самите бизнес потребители;</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разреши достъп на търсещите механизми на всяка трета страна при справедливи, разумни и недискриминационни условия, съответно заявката, кликването и преглеждането на данни, свързани с генерирана от търсенето информация (обект на анонимизация);</w:t>
      </w:r>
    </w:p>
    <w:p w:rsidR="00D11C60" w:rsidRPr="008F3ADE" w:rsidRDefault="00D11C60" w:rsidP="00D11C60">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да разреши справедливи и недискриминационни условия за достъп на бизнес потребителя до неговия магазин за софтуерни приложения.</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7</w:t>
      </w:r>
      <w:r w:rsidRPr="008F3ADE">
        <w:rPr>
          <w:rFonts w:ascii="Tahoma" w:hAnsi="Tahoma" w:cs="Tahoma"/>
          <w:sz w:val="20"/>
          <w:szCs w:val="20"/>
          <w:u w:val="single"/>
        </w:rPr>
        <w:t>:</w:t>
      </w:r>
      <w:r w:rsidRPr="008F3ADE">
        <w:rPr>
          <w:rFonts w:ascii="Tahoma" w:hAnsi="Tahoma" w:cs="Tahoma"/>
          <w:sz w:val="20"/>
          <w:szCs w:val="20"/>
        </w:rPr>
        <w:t xml:space="preserve"> Когато Комисията установи, че правилата на член 6 не се спазват, може да започне разследване (член 7, параграф 2). Предварителните констатации се предоставят в рамките на 3 месеца и трябва да предложат мерки, които Комисията насърчава доставчика да предприеме, за да приведе дейността си в съответствие с изискванията (член 7, параграф 4). Пазачът на информационния вход може също да поиска откриване на производство, за да се определи дали мерките, които възнамерява да предприеме, са в съответствие с член 6 (член 7 (7)).</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8:</w:t>
      </w:r>
      <w:r w:rsidRPr="008F3ADE">
        <w:rPr>
          <w:rFonts w:ascii="Tahoma" w:hAnsi="Tahoma" w:cs="Tahoma"/>
          <w:sz w:val="20"/>
          <w:szCs w:val="20"/>
        </w:rPr>
        <w:t xml:space="preserve"> Пазачите могат да поискат от Комисията по изключение да прекрати изцяло или частично задълженията, възложени им в членове 5 и 6, ако могат да докажат чрез консултативната процедура по член 32, параграф 4, че спазването им би застрашило тяхната икономическа жизнеспособност в рамките на ЕС. Ако бъде предоставено от Комисията, спирането на задълженията трябва да стане в рамките на 3 месеца. Това решение се преразглежда ежегодно (член 8, параграф 2).</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9:</w:t>
      </w:r>
      <w:r w:rsidRPr="008F3ADE">
        <w:rPr>
          <w:rFonts w:ascii="Tahoma" w:hAnsi="Tahoma" w:cs="Tahoma"/>
          <w:sz w:val="20"/>
          <w:szCs w:val="20"/>
        </w:rPr>
        <w:t xml:space="preserve"> Пазачите, по тяхно искане или инициатива на Комисията, могат да бъдат освободени от задължения по членове 5 и 6 поради причини от висш обществен интерес (напр. морал, здраве, сигурност) съгласно процедурата за консултиране по член 32 (4).</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10:</w:t>
      </w:r>
      <w:r w:rsidRPr="008F3ADE">
        <w:rPr>
          <w:rFonts w:ascii="Tahoma" w:hAnsi="Tahoma" w:cs="Tahoma"/>
          <w:sz w:val="20"/>
          <w:szCs w:val="20"/>
        </w:rPr>
        <w:t xml:space="preserve"> Комисията може да актуализира задълженията по членове 5 и 6, съгласно процедурата по разследване в член 17, ако установи необходимост от разглеждане на нови практики на пазара, които ограничават оспоримостта.</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11:</w:t>
      </w:r>
      <w:r w:rsidRPr="008F3ADE">
        <w:rPr>
          <w:rFonts w:ascii="Tahoma" w:hAnsi="Tahoma" w:cs="Tahoma"/>
          <w:sz w:val="20"/>
          <w:szCs w:val="20"/>
        </w:rPr>
        <w:t xml:space="preserve"> включва различни клаузи срещу заобикаляне на правилата.</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12:</w:t>
      </w:r>
      <w:r w:rsidRPr="008F3ADE">
        <w:rPr>
          <w:rFonts w:ascii="Tahoma" w:hAnsi="Tahoma" w:cs="Tahoma"/>
          <w:sz w:val="20"/>
          <w:szCs w:val="20"/>
        </w:rPr>
        <w:t xml:space="preserve"> Пазачите информират Комисията за планирана концентрация по смисъла на член 3 от Регламент 193/2004 (Сливания) за всички други услуги, предоставяни в цифровия сектор, независимо дали вече са подлежащи на уведомление съгласно този регламент или не (и включват съответната информация относно целевия годишен оборот за придобиване, активните бизнес потребители и обосновката за концентрацията).</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lastRenderedPageBreak/>
        <w:t>Член 13:</w:t>
      </w:r>
      <w:r w:rsidRPr="008F3ADE">
        <w:rPr>
          <w:rFonts w:ascii="Tahoma" w:hAnsi="Tahoma" w:cs="Tahoma"/>
          <w:sz w:val="20"/>
          <w:szCs w:val="20"/>
        </w:rPr>
        <w:t xml:space="preserve"> Пазачите представят на Комисията независимо одитирано описание на всички техники, които използват, за да профилира потребителите в рамките на 6 месеца след определянето им за пазач на информационен вход. Актуализира се ежегодно.</w:t>
      </w:r>
    </w:p>
    <w:p w:rsidR="00D11C60" w:rsidRPr="008F3ADE" w:rsidRDefault="00D11C60" w:rsidP="00D11C60">
      <w:pPr>
        <w:shd w:val="clear" w:color="auto" w:fill="002060"/>
        <w:spacing w:after="120"/>
        <w:jc w:val="both"/>
        <w:rPr>
          <w:rFonts w:ascii="Tahoma" w:hAnsi="Tahoma" w:cs="Tahoma"/>
          <w:sz w:val="20"/>
          <w:szCs w:val="20"/>
        </w:rPr>
      </w:pPr>
      <w:r w:rsidRPr="008F3ADE">
        <w:rPr>
          <w:rFonts w:ascii="Tahoma" w:hAnsi="Tahoma" w:cs="Tahoma"/>
          <w:b/>
          <w:sz w:val="20"/>
          <w:szCs w:val="20"/>
        </w:rPr>
        <w:t>Проучване на пазара (глава IV):</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14:</w:t>
      </w:r>
      <w:r w:rsidRPr="008F3ADE">
        <w:rPr>
          <w:rFonts w:ascii="Tahoma" w:hAnsi="Tahoma" w:cs="Tahoma"/>
          <w:sz w:val="20"/>
          <w:szCs w:val="20"/>
        </w:rPr>
        <w:t xml:space="preserve"> когато Комисията възнамерява да приеме решения във връзка с определяне на пазачи, системно неспазване или нови услуги и практики, тя трябва да направи това първо чрез провеждане на проучване на пазара (съответно членове 15, 16, 17)</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rPr>
        <w:t>Правомощия за разследване, изпълнение и наблюдение (Глава V):</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18:</w:t>
      </w:r>
      <w:r w:rsidRPr="008F3ADE">
        <w:rPr>
          <w:rFonts w:ascii="Tahoma" w:hAnsi="Tahoma" w:cs="Tahoma"/>
          <w:sz w:val="20"/>
          <w:szCs w:val="20"/>
        </w:rPr>
        <w:t xml:space="preserve"> производство ще бъде открито преди насърчаване на спазването на чл. 7, мерки за неспазване на чл. 25 или глоби по чл. 26.</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19:</w:t>
      </w:r>
      <w:r w:rsidRPr="008F3ADE">
        <w:rPr>
          <w:rFonts w:ascii="Tahoma" w:hAnsi="Tahoma" w:cs="Tahoma"/>
          <w:sz w:val="20"/>
          <w:szCs w:val="20"/>
        </w:rPr>
        <w:t xml:space="preserve"> Комисията може да изиска информация от пазача на информационния вход с цел наблюдение или прилагане на настоящия регламент (напр. достъп до бази данни и алгоритми). По същия начин държавите-членки могат също да бъдат обект на искания за информация от Комисията (член 19, параграф 6).</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Членове 20, 21:</w:t>
      </w:r>
      <w:r w:rsidRPr="008F3ADE">
        <w:rPr>
          <w:rFonts w:ascii="Tahoma" w:hAnsi="Tahoma" w:cs="Tahoma"/>
          <w:sz w:val="20"/>
          <w:szCs w:val="20"/>
        </w:rPr>
        <w:t xml:space="preserve"> Комисията може да прави интервюта с физически или юридически лица и проверки на място на помещения, включително достъп до ИТ системи и др., за да допълни текущо разследване на правоприлагането.</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22:</w:t>
      </w:r>
      <w:r w:rsidRPr="008F3ADE">
        <w:rPr>
          <w:rFonts w:ascii="Tahoma" w:hAnsi="Tahoma" w:cs="Tahoma"/>
          <w:sz w:val="20"/>
          <w:szCs w:val="20"/>
        </w:rPr>
        <w:t xml:space="preserve"> временни мерки могат да бъдат наложени на пазачите от Комисията в съответствие с консултативната процедура (член 32, параграф 4) въз основа на констатациите на нарушение на членове 5 или 6.</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23:</w:t>
      </w:r>
      <w:r w:rsidRPr="008F3ADE">
        <w:rPr>
          <w:rFonts w:ascii="Tahoma" w:hAnsi="Tahoma" w:cs="Tahoma"/>
          <w:sz w:val="20"/>
          <w:szCs w:val="20"/>
        </w:rPr>
        <w:t xml:space="preserve"> ангажиментите, поети от пазача по време на пазарни разследвания или производства за неспазване, могат да станат обвързващи и следователно да няма необходимост от предприемане на допълнителни действия.</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25:</w:t>
      </w:r>
      <w:r w:rsidRPr="008F3ADE">
        <w:rPr>
          <w:rFonts w:ascii="Tahoma" w:hAnsi="Tahoma" w:cs="Tahoma"/>
          <w:sz w:val="20"/>
          <w:szCs w:val="20"/>
        </w:rPr>
        <w:t xml:space="preserve"> препраща към различни членове, които могат да бъдат основа за решение по неспазване. Предварителните констатации се съобщават на пазача, преди Комисията да вземе решение (член 25, параграф 2). Изпращат се известия за прекратяване и отказ (член 25, параграф 3), изискващи от пазача да предостави описание на мерките, които е предприел (член 25, параграф 4). Ако Комисията счита, че условията й все още не са изпълнени, тя приключва процедурата с решение.</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26:</w:t>
      </w:r>
      <w:r w:rsidRPr="008F3ADE">
        <w:rPr>
          <w:rFonts w:ascii="Tahoma" w:hAnsi="Tahoma" w:cs="Tahoma"/>
          <w:sz w:val="20"/>
          <w:szCs w:val="20"/>
        </w:rPr>
        <w:t xml:space="preserve"> глоби до 10% от годишния оборот могат да бъдат наложени на пазачите за умишлено нарушение или небрежност при спазване на условията за съответствие. Глоби до 1% от оборота могат да бъдат наложени на предприятия и сдружения на предприятия, когато те не предоставят информация, необходима според настоящия регламент, включително правомощия за контрол, правоприлагане и наблюдение.</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27:</w:t>
      </w:r>
      <w:r w:rsidRPr="008F3ADE">
        <w:rPr>
          <w:rFonts w:ascii="Tahoma" w:hAnsi="Tahoma" w:cs="Tahoma"/>
          <w:sz w:val="20"/>
          <w:szCs w:val="20"/>
        </w:rPr>
        <w:t xml:space="preserve"> Комисията може да налага периодични наказателни плащания на предприятия, включително пазачи до 5% от средния дневен оборот във връзка с правомощията й за за контрол, правоприлагане и наблюдение .</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Членове 28 и 29:</w:t>
      </w:r>
      <w:r w:rsidRPr="008F3ADE">
        <w:rPr>
          <w:rFonts w:ascii="Tahoma" w:hAnsi="Tahoma" w:cs="Tahoma"/>
          <w:sz w:val="20"/>
          <w:szCs w:val="20"/>
        </w:rPr>
        <w:t xml:space="preserve"> определят се давностни срокове от 3 до 5 години, съответно за налагане на санкции и прилагане на решения за изпълнение.</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30:</w:t>
      </w:r>
      <w:r w:rsidRPr="008F3ADE">
        <w:rPr>
          <w:rFonts w:ascii="Tahoma" w:hAnsi="Tahoma" w:cs="Tahoma"/>
          <w:sz w:val="20"/>
          <w:szCs w:val="20"/>
        </w:rPr>
        <w:t xml:space="preserve"> пазачите имат право да бъдат изслушани по всички предварителни констатации или мерки, които Комисията възнамерява да предприеме. Те трябва да представят забележки в рамките на 14 дни от действията на Комисията. Достъп до данни на Комисията по въпроса се предоставя при условията на договаряне за оповестяване (член 30, параграф 4).</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32:</w:t>
      </w:r>
      <w:r w:rsidRPr="008F3ADE">
        <w:rPr>
          <w:rFonts w:ascii="Tahoma" w:hAnsi="Tahoma" w:cs="Tahoma"/>
          <w:sz w:val="20"/>
          <w:szCs w:val="20"/>
        </w:rPr>
        <w:t xml:space="preserve"> създава Консултативен комитет за цифровите пазари, който да представя общественото мнение за да подпомогне Комисията при вземането на решения за изпълнение.</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33:</w:t>
      </w:r>
      <w:r w:rsidRPr="008F3ADE">
        <w:rPr>
          <w:rFonts w:ascii="Tahoma" w:hAnsi="Tahoma" w:cs="Tahoma"/>
          <w:sz w:val="20"/>
          <w:szCs w:val="20"/>
        </w:rPr>
        <w:t xml:space="preserve"> необходими са три или повече държави-членки, за да принудят Комисията да разследва дали доставчикът на услуги може да бъде пазач.</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Членове 34 и 35:</w:t>
      </w:r>
      <w:r w:rsidRPr="008F3ADE">
        <w:rPr>
          <w:rFonts w:ascii="Tahoma" w:hAnsi="Tahoma" w:cs="Tahoma"/>
          <w:sz w:val="20"/>
          <w:szCs w:val="20"/>
        </w:rPr>
        <w:t xml:space="preserve"> Комисията публикува всички решения, които подлежат на преглед от СЕС.</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38:</w:t>
      </w:r>
      <w:r w:rsidRPr="008F3ADE">
        <w:rPr>
          <w:rFonts w:ascii="Tahoma" w:hAnsi="Tahoma" w:cs="Tahoma"/>
          <w:sz w:val="20"/>
          <w:szCs w:val="20"/>
        </w:rPr>
        <w:t xml:space="preserve"> Комисията преразглежда настоящия регламент на всеки 3 години.</w:t>
      </w:r>
    </w:p>
    <w:p w:rsidR="00D11C60" w:rsidRPr="008F3ADE" w:rsidRDefault="00D11C60" w:rsidP="00D11C60">
      <w:pPr>
        <w:spacing w:after="120"/>
        <w:jc w:val="both"/>
        <w:rPr>
          <w:rFonts w:ascii="Tahoma" w:hAnsi="Tahoma" w:cs="Tahoma"/>
          <w:sz w:val="20"/>
          <w:szCs w:val="20"/>
        </w:rPr>
      </w:pPr>
      <w:r w:rsidRPr="008F3ADE">
        <w:rPr>
          <w:rFonts w:ascii="Tahoma" w:hAnsi="Tahoma" w:cs="Tahoma"/>
          <w:b/>
          <w:sz w:val="20"/>
          <w:szCs w:val="20"/>
          <w:u w:val="single"/>
        </w:rPr>
        <w:t>Член 39:</w:t>
      </w:r>
      <w:r w:rsidRPr="008F3ADE">
        <w:rPr>
          <w:rFonts w:ascii="Tahoma" w:hAnsi="Tahoma" w:cs="Tahoma"/>
          <w:sz w:val="20"/>
          <w:szCs w:val="20"/>
        </w:rPr>
        <w:t xml:space="preserve"> Регламентът се прилага 6 месеца след влизането му в сила.</w:t>
      </w:r>
    </w:p>
    <w:p w:rsidR="00FC20F1" w:rsidRDefault="00FC20F1"/>
    <w:sectPr w:rsidR="00FC20F1" w:rsidSect="00D11C60">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3294"/>
    <w:multiLevelType w:val="hybridMultilevel"/>
    <w:tmpl w:val="A2DE878A"/>
    <w:lvl w:ilvl="0" w:tplc="845EA788">
      <w:numFmt w:val="bullet"/>
      <w:lvlText w:val="-"/>
      <w:lvlJc w:val="left"/>
      <w:pPr>
        <w:ind w:left="336" w:hanging="696"/>
      </w:pPr>
      <w:rPr>
        <w:rFonts w:ascii="Tahoma" w:eastAsia="Calibri" w:hAnsi="Tahoma" w:cs="Tahoma"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1" w15:restartNumberingAfterBreak="0">
    <w:nsid w:val="34BA1365"/>
    <w:multiLevelType w:val="hybridMultilevel"/>
    <w:tmpl w:val="22D6D4A6"/>
    <w:lvl w:ilvl="0" w:tplc="845EA788">
      <w:numFmt w:val="bullet"/>
      <w:lvlText w:val="-"/>
      <w:lvlJc w:val="left"/>
      <w:pPr>
        <w:ind w:left="336" w:hanging="696"/>
      </w:pPr>
      <w:rPr>
        <w:rFonts w:ascii="Tahoma" w:eastAsia="Calibri" w:hAnsi="Tahoma" w:cs="Tahoma"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60"/>
    <w:rsid w:val="000D0B65"/>
    <w:rsid w:val="00127F72"/>
    <w:rsid w:val="00D11C60"/>
    <w:rsid w:val="00FC20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DB17"/>
  <w15:chartTrackingRefBased/>
  <w15:docId w15:val="{F51117E1-46BE-446B-AE18-E70D15F0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60"/>
    <w:pPr>
      <w:spacing w:after="0" w:line="240" w:lineRule="auto"/>
    </w:pPr>
    <w:rPr>
      <w:rFonts w:ascii="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C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1630</Words>
  <Characters>9296</Characters>
  <Application>Microsoft Office Word</Application>
  <DocSecurity>0</DocSecurity>
  <Lines>77</Lines>
  <Paragraphs>21</Paragraphs>
  <ScaleCrop>false</ScaleCrop>
  <Company>Grizli777</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2021-01-12T08:55:00Z</dcterms:created>
  <dcterms:modified xsi:type="dcterms:W3CDTF">2021-01-12T08:58:00Z</dcterms:modified>
</cp:coreProperties>
</file>